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20" w:rsidRPr="0008133A" w:rsidRDefault="00033720" w:rsidP="00033720">
      <w:pPr>
        <w:spacing w:after="0" w:line="240" w:lineRule="auto"/>
        <w:jc w:val="center"/>
        <w:rPr>
          <w:rFonts w:ascii="Times New Roman" w:hAnsi="Times New Roman" w:cs="Times New Roman"/>
          <w:b/>
          <w:sz w:val="28"/>
          <w:szCs w:val="28"/>
        </w:rPr>
      </w:pPr>
      <w:r w:rsidRPr="0008133A">
        <w:rPr>
          <w:rFonts w:ascii="Times New Roman" w:hAnsi="Times New Roman" w:cs="Times New Roman"/>
          <w:b/>
          <w:sz w:val="28"/>
          <w:szCs w:val="28"/>
        </w:rPr>
        <w:t>Customer Service &amp; Marketing</w:t>
      </w:r>
    </w:p>
    <w:p w:rsidR="00033720" w:rsidRPr="0008133A" w:rsidRDefault="00033720" w:rsidP="00033720">
      <w:pPr>
        <w:spacing w:after="0" w:line="240" w:lineRule="auto"/>
        <w:jc w:val="center"/>
        <w:rPr>
          <w:rFonts w:ascii="Times New Roman" w:hAnsi="Times New Roman" w:cs="Times New Roman"/>
          <w:b/>
          <w:sz w:val="28"/>
          <w:szCs w:val="28"/>
        </w:rPr>
      </w:pPr>
      <w:r w:rsidRPr="0008133A">
        <w:rPr>
          <w:rFonts w:ascii="Times New Roman" w:hAnsi="Times New Roman" w:cs="Times New Roman"/>
          <w:b/>
          <w:sz w:val="28"/>
          <w:szCs w:val="28"/>
        </w:rPr>
        <w:t xml:space="preserve">Quarterly Quality Assurance Report  </w:t>
      </w:r>
    </w:p>
    <w:p w:rsidR="00033720" w:rsidRDefault="00033720" w:rsidP="00033720">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9/3/23 – 12/1/23</w:t>
      </w:r>
    </w:p>
    <w:p w:rsidR="00033720" w:rsidRPr="008008D9" w:rsidRDefault="00033720" w:rsidP="00033720">
      <w:pPr>
        <w:spacing w:after="120" w:line="240" w:lineRule="auto"/>
        <w:jc w:val="center"/>
        <w:rPr>
          <w:rFonts w:ascii="Times New Roman" w:hAnsi="Times New Roman" w:cs="Times New Roman"/>
          <w:b/>
          <w:sz w:val="28"/>
          <w:szCs w:val="28"/>
        </w:rPr>
      </w:pPr>
    </w:p>
    <w:p w:rsidR="00033720" w:rsidRDefault="00033720" w:rsidP="00033720">
      <w:pPr>
        <w:tabs>
          <w:tab w:val="left" w:pos="3420"/>
        </w:tabs>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08133A">
        <w:rPr>
          <w:rFonts w:ascii="Times New Roman" w:hAnsi="Times New Roman" w:cs="Times New Roman"/>
          <w:b/>
          <w:sz w:val="24"/>
          <w:szCs w:val="24"/>
        </w:rPr>
        <w:t xml:space="preserve">ustomer Experience Questionnaire Quarterly Report: </w:t>
      </w:r>
      <w:r w:rsidRPr="00E36C33">
        <w:rPr>
          <w:rFonts w:ascii="Times New Roman" w:hAnsi="Times New Roman" w:cs="Times New Roman"/>
          <w:noProof/>
          <w:sz w:val="24"/>
          <w:szCs w:val="24"/>
        </w:rPr>
        <w:drawing>
          <wp:inline distT="0" distB="0" distL="0" distR="0" wp14:anchorId="574916E3" wp14:editId="29FFF8EE">
            <wp:extent cx="6515100" cy="22383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hAnsi="Times New Roman" w:cs="Times New Roman"/>
          <w:b/>
          <w:sz w:val="24"/>
          <w:szCs w:val="24"/>
        </w:rPr>
        <w:t xml:space="preserve"> </w:t>
      </w:r>
      <w:r w:rsidRPr="00E36C33">
        <w:rPr>
          <w:rFonts w:ascii="Times New Roman" w:hAnsi="Times New Roman" w:cs="Times New Roman"/>
          <w:noProof/>
          <w:sz w:val="24"/>
          <w:szCs w:val="24"/>
        </w:rPr>
        <w:drawing>
          <wp:inline distT="0" distB="0" distL="0" distR="0" wp14:anchorId="5BFD7C9B" wp14:editId="26A21E5A">
            <wp:extent cx="6515100" cy="22383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33720" w:rsidRDefault="00033720" w:rsidP="00033720">
      <w:pPr>
        <w:spacing w:after="0" w:line="240" w:lineRule="auto"/>
        <w:rPr>
          <w:rFonts w:ascii="Times New Roman" w:hAnsi="Times New Roman" w:cs="Times New Roman"/>
          <w:sz w:val="24"/>
          <w:szCs w:val="24"/>
        </w:rPr>
      </w:pPr>
    </w:p>
    <w:p w:rsidR="00033720" w:rsidRDefault="00033720" w:rsidP="00033720">
      <w:pPr>
        <w:spacing w:after="0" w:line="240" w:lineRule="auto"/>
        <w:ind w:left="-288" w:right="-288"/>
        <w:rPr>
          <w:rFonts w:ascii="Times New Roman" w:hAnsi="Times New Roman" w:cs="Times New Roman"/>
          <w:b/>
          <w:i/>
          <w:sz w:val="24"/>
          <w:szCs w:val="24"/>
        </w:rPr>
      </w:pPr>
      <w:r>
        <w:rPr>
          <w:rFonts w:ascii="Times New Roman" w:hAnsi="Times New Roman" w:cs="Times New Roman"/>
          <w:sz w:val="24"/>
          <w:szCs w:val="24"/>
        </w:rPr>
        <w:t>Included are the results from 2022 for comparison of results to this year. This quarter we received back a total of 7 discharge surveys after distributing 28 which gives us a response rate of 25</w:t>
      </w:r>
      <w:r w:rsidRPr="00E868A0">
        <w:rPr>
          <w:rFonts w:ascii="Times New Roman" w:hAnsi="Times New Roman" w:cs="Times New Roman"/>
          <w:sz w:val="24"/>
          <w:szCs w:val="24"/>
        </w:rPr>
        <w:t>%</w:t>
      </w:r>
      <w:r>
        <w:rPr>
          <w:rFonts w:ascii="Times New Roman" w:hAnsi="Times New Roman" w:cs="Times New Roman"/>
          <w:sz w:val="24"/>
          <w:szCs w:val="24"/>
        </w:rPr>
        <w:t xml:space="preserve">.  This is a slightly higher response rate compared to previous quarters.  Of the surveys this quarter, there were 175 possible responses ranging from “Excellent” to “Not Applicable”.  The chart above illustrates the responses that we have received for this quarter. </w:t>
      </w:r>
    </w:p>
    <w:p w:rsidR="00033720" w:rsidRDefault="00033720" w:rsidP="00033720">
      <w:pPr>
        <w:spacing w:after="0" w:line="240" w:lineRule="auto"/>
        <w:ind w:left="-288" w:right="-288"/>
        <w:rPr>
          <w:rFonts w:ascii="Times New Roman" w:hAnsi="Times New Roman" w:cs="Times New Roman"/>
          <w:sz w:val="24"/>
          <w:szCs w:val="24"/>
        </w:rPr>
      </w:pPr>
    </w:p>
    <w:p w:rsidR="00033720" w:rsidRDefault="00033720" w:rsidP="00033720">
      <w:pPr>
        <w:spacing w:after="0" w:line="240" w:lineRule="auto"/>
        <w:ind w:left="-288" w:right="-288"/>
        <w:rPr>
          <w:rFonts w:ascii="Times New Roman" w:hAnsi="Times New Roman" w:cs="Times New Roman"/>
          <w:sz w:val="24"/>
          <w:szCs w:val="24"/>
        </w:rPr>
      </w:pPr>
      <w:r>
        <w:rPr>
          <w:rFonts w:ascii="Times New Roman" w:hAnsi="Times New Roman" w:cs="Times New Roman"/>
          <w:sz w:val="24"/>
          <w:szCs w:val="24"/>
        </w:rPr>
        <w:t xml:space="preserve">The total responses included 111 “Excellent” ratings, 46 “Good” ratings, 6 “Fair” rating, and 0 “Poor” rating.  There were 9 questions which were answered “Not Applicable” and 3 questions with no response given.  </w:t>
      </w:r>
    </w:p>
    <w:p w:rsidR="00FE10B7" w:rsidRDefault="00033720">
      <w:bookmarkStart w:id="0" w:name="_GoBack"/>
      <w:bookmarkEnd w:id="0"/>
    </w:p>
    <w:sectPr w:rsidR="00FE1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20"/>
    <w:rsid w:val="00033720"/>
    <w:rsid w:val="007D3DA8"/>
    <w:rsid w:val="00962AA4"/>
    <w:rsid w:val="00B2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2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2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Discharge Surveys in 2023</a:t>
            </a:r>
          </a:p>
        </c:rich>
      </c:tx>
      <c:layout>
        <c:manualLayout>
          <c:xMode val="edge"/>
          <c:yMode val="edge"/>
          <c:x val="0.31777286611103611"/>
          <c:y val="3.4042553191489362E-2"/>
        </c:manualLayout>
      </c:layout>
      <c:overlay val="0"/>
    </c:title>
    <c:autoTitleDeleted val="0"/>
    <c:plotArea>
      <c:layout>
        <c:manualLayout>
          <c:layoutTarget val="inner"/>
          <c:xMode val="edge"/>
          <c:yMode val="edge"/>
          <c:x val="2.1442495126705655E-2"/>
          <c:y val="0.20458412911152071"/>
          <c:w val="0.9571150097465887"/>
          <c:h val="0.65327882950801963"/>
        </c:manualLayout>
      </c:layout>
      <c:barChart>
        <c:barDir val="col"/>
        <c:grouping val="clustered"/>
        <c:varyColors val="0"/>
        <c:ser>
          <c:idx val="0"/>
          <c:order val="0"/>
          <c:tx>
            <c:strRef>
              <c:f>Sheet1!$B$1</c:f>
              <c:strCache>
                <c:ptCount val="1"/>
                <c:pt idx="0">
                  <c:v>Q1 2023</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Sheet1!$A$2:$A$7</c:f>
              <c:strCache>
                <c:ptCount val="6"/>
                <c:pt idx="0">
                  <c:v>Excellent</c:v>
                </c:pt>
                <c:pt idx="1">
                  <c:v>Good</c:v>
                </c:pt>
                <c:pt idx="2">
                  <c:v>Fair</c:v>
                </c:pt>
                <c:pt idx="3">
                  <c:v>Poor</c:v>
                </c:pt>
                <c:pt idx="4">
                  <c:v>N/A</c:v>
                </c:pt>
                <c:pt idx="5">
                  <c:v>No Response</c:v>
                </c:pt>
              </c:strCache>
            </c:strRef>
          </c:cat>
          <c:val>
            <c:numRef>
              <c:f>Sheet1!$B$2:$B$7</c:f>
              <c:numCache>
                <c:formatCode>0%</c:formatCode>
                <c:ptCount val="6"/>
                <c:pt idx="0">
                  <c:v>0.56999999999999995</c:v>
                </c:pt>
                <c:pt idx="1">
                  <c:v>0.3</c:v>
                </c:pt>
                <c:pt idx="2">
                  <c:v>0.02</c:v>
                </c:pt>
                <c:pt idx="3">
                  <c:v>0</c:v>
                </c:pt>
                <c:pt idx="4">
                  <c:v>0.02</c:v>
                </c:pt>
                <c:pt idx="5">
                  <c:v>0.09</c:v>
                </c:pt>
              </c:numCache>
            </c:numRef>
          </c:val>
        </c:ser>
        <c:ser>
          <c:idx val="1"/>
          <c:order val="1"/>
          <c:tx>
            <c:strRef>
              <c:f>Sheet1!$C$1</c:f>
              <c:strCache>
                <c:ptCount val="1"/>
                <c:pt idx="0">
                  <c:v>Q2 2023</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Sheet1!$A$2:$A$7</c:f>
              <c:strCache>
                <c:ptCount val="6"/>
                <c:pt idx="0">
                  <c:v>Excellent</c:v>
                </c:pt>
                <c:pt idx="1">
                  <c:v>Good</c:v>
                </c:pt>
                <c:pt idx="2">
                  <c:v>Fair</c:v>
                </c:pt>
                <c:pt idx="3">
                  <c:v>Poor</c:v>
                </c:pt>
                <c:pt idx="4">
                  <c:v>N/A</c:v>
                </c:pt>
                <c:pt idx="5">
                  <c:v>No Response</c:v>
                </c:pt>
              </c:strCache>
            </c:strRef>
          </c:cat>
          <c:val>
            <c:numRef>
              <c:f>Sheet1!$C$2:$C$7</c:f>
              <c:numCache>
                <c:formatCode>0%</c:formatCode>
                <c:ptCount val="6"/>
                <c:pt idx="0">
                  <c:v>0.65</c:v>
                </c:pt>
                <c:pt idx="1">
                  <c:v>0.19</c:v>
                </c:pt>
                <c:pt idx="2">
                  <c:v>0.01</c:v>
                </c:pt>
                <c:pt idx="3">
                  <c:v>0.01</c:v>
                </c:pt>
                <c:pt idx="4">
                  <c:v>0.04</c:v>
                </c:pt>
                <c:pt idx="5">
                  <c:v>0.1</c:v>
                </c:pt>
              </c:numCache>
            </c:numRef>
          </c:val>
        </c:ser>
        <c:ser>
          <c:idx val="2"/>
          <c:order val="2"/>
          <c:tx>
            <c:strRef>
              <c:f>Sheet1!$D$1</c:f>
              <c:strCache>
                <c:ptCount val="1"/>
                <c:pt idx="0">
                  <c:v>Q3 2023</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Sheet1!$A$2:$A$7</c:f>
              <c:strCache>
                <c:ptCount val="6"/>
                <c:pt idx="0">
                  <c:v>Excellent</c:v>
                </c:pt>
                <c:pt idx="1">
                  <c:v>Good</c:v>
                </c:pt>
                <c:pt idx="2">
                  <c:v>Fair</c:v>
                </c:pt>
                <c:pt idx="3">
                  <c:v>Poor</c:v>
                </c:pt>
                <c:pt idx="4">
                  <c:v>N/A</c:v>
                </c:pt>
                <c:pt idx="5">
                  <c:v>No Response</c:v>
                </c:pt>
              </c:strCache>
            </c:strRef>
          </c:cat>
          <c:val>
            <c:numRef>
              <c:f>Sheet1!$D$2:$D$7</c:f>
              <c:numCache>
                <c:formatCode>0%</c:formatCode>
                <c:ptCount val="6"/>
                <c:pt idx="0">
                  <c:v>0.64</c:v>
                </c:pt>
                <c:pt idx="1">
                  <c:v>0.24</c:v>
                </c:pt>
                <c:pt idx="2">
                  <c:v>0.03</c:v>
                </c:pt>
                <c:pt idx="3">
                  <c:v>0.01</c:v>
                </c:pt>
                <c:pt idx="4">
                  <c:v>0.04</c:v>
                </c:pt>
                <c:pt idx="5">
                  <c:v>0.04</c:v>
                </c:pt>
              </c:numCache>
            </c:numRef>
          </c:val>
        </c:ser>
        <c:ser>
          <c:idx val="3"/>
          <c:order val="3"/>
          <c:tx>
            <c:strRef>
              <c:f>Sheet1!$E$1</c:f>
              <c:strCache>
                <c:ptCount val="1"/>
                <c:pt idx="0">
                  <c:v>Q4 2023</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Sheet1!$A$2:$A$7</c:f>
              <c:strCache>
                <c:ptCount val="6"/>
                <c:pt idx="0">
                  <c:v>Excellent</c:v>
                </c:pt>
                <c:pt idx="1">
                  <c:v>Good</c:v>
                </c:pt>
                <c:pt idx="2">
                  <c:v>Fair</c:v>
                </c:pt>
                <c:pt idx="3">
                  <c:v>Poor</c:v>
                </c:pt>
                <c:pt idx="4">
                  <c:v>N/A</c:v>
                </c:pt>
                <c:pt idx="5">
                  <c:v>No Response</c:v>
                </c:pt>
              </c:strCache>
            </c:strRef>
          </c:cat>
          <c:val>
            <c:numRef>
              <c:f>Sheet1!$E$2:$E$7</c:f>
              <c:numCache>
                <c:formatCode>0%</c:formatCode>
                <c:ptCount val="6"/>
                <c:pt idx="0">
                  <c:v>0.63</c:v>
                </c:pt>
                <c:pt idx="1">
                  <c:v>0.26</c:v>
                </c:pt>
                <c:pt idx="2">
                  <c:v>0.04</c:v>
                </c:pt>
                <c:pt idx="3">
                  <c:v>0</c:v>
                </c:pt>
                <c:pt idx="4">
                  <c:v>0.05</c:v>
                </c:pt>
                <c:pt idx="5">
                  <c:v>0.02</c:v>
                </c:pt>
              </c:numCache>
            </c:numRef>
          </c:val>
        </c:ser>
        <c:dLbls>
          <c:showLegendKey val="0"/>
          <c:showVal val="1"/>
          <c:showCatName val="0"/>
          <c:showSerName val="0"/>
          <c:showPercent val="0"/>
          <c:showBubbleSize val="0"/>
        </c:dLbls>
        <c:gapWidth val="500"/>
        <c:overlap val="-25"/>
        <c:axId val="119422336"/>
        <c:axId val="119436416"/>
      </c:barChart>
      <c:catAx>
        <c:axId val="119422336"/>
        <c:scaling>
          <c:orientation val="minMax"/>
        </c:scaling>
        <c:delete val="0"/>
        <c:axPos val="b"/>
        <c:majorTickMark val="none"/>
        <c:minorTickMark val="none"/>
        <c:tickLblPos val="nextTo"/>
        <c:crossAx val="119436416"/>
        <c:crosses val="autoZero"/>
        <c:auto val="1"/>
        <c:lblAlgn val="ctr"/>
        <c:lblOffset val="100"/>
        <c:noMultiLvlLbl val="0"/>
      </c:catAx>
      <c:valAx>
        <c:axId val="119436416"/>
        <c:scaling>
          <c:orientation val="minMax"/>
        </c:scaling>
        <c:delete val="1"/>
        <c:axPos val="l"/>
        <c:numFmt formatCode="0%" sourceLinked="1"/>
        <c:majorTickMark val="out"/>
        <c:minorTickMark val="none"/>
        <c:tickLblPos val="none"/>
        <c:crossAx val="11942233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Discharge Surveys in 2022</a:t>
            </a:r>
          </a:p>
        </c:rich>
      </c:tx>
      <c:layout>
        <c:manualLayout>
          <c:xMode val="edge"/>
          <c:yMode val="edge"/>
          <c:x val="0.31777286611103611"/>
          <c:y val="3.4042553191489362E-2"/>
        </c:manualLayout>
      </c:layout>
      <c:overlay val="0"/>
    </c:title>
    <c:autoTitleDeleted val="0"/>
    <c:plotArea>
      <c:layout>
        <c:manualLayout>
          <c:layoutTarget val="inner"/>
          <c:xMode val="edge"/>
          <c:yMode val="edge"/>
          <c:x val="2.1442495126705655E-2"/>
          <c:y val="0.20458412911152071"/>
          <c:w val="0.9571150097465887"/>
          <c:h val="0.65327882950801963"/>
        </c:manualLayout>
      </c:layout>
      <c:barChart>
        <c:barDir val="col"/>
        <c:grouping val="clustered"/>
        <c:varyColors val="0"/>
        <c:ser>
          <c:idx val="0"/>
          <c:order val="0"/>
          <c:tx>
            <c:strRef>
              <c:f>Sheet1!$B$1</c:f>
              <c:strCache>
                <c:ptCount val="1"/>
                <c:pt idx="0">
                  <c:v>Q1 2022</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Sheet1!$A$2:$A$7</c:f>
              <c:strCache>
                <c:ptCount val="6"/>
                <c:pt idx="0">
                  <c:v>Excellent</c:v>
                </c:pt>
                <c:pt idx="1">
                  <c:v>Good</c:v>
                </c:pt>
                <c:pt idx="2">
                  <c:v>Fair</c:v>
                </c:pt>
                <c:pt idx="3">
                  <c:v>Poor</c:v>
                </c:pt>
                <c:pt idx="4">
                  <c:v>N/A</c:v>
                </c:pt>
                <c:pt idx="5">
                  <c:v>No Response</c:v>
                </c:pt>
              </c:strCache>
            </c:strRef>
          </c:cat>
          <c:val>
            <c:numRef>
              <c:f>Sheet1!$B$2:$B$7</c:f>
              <c:numCache>
                <c:formatCode>0%</c:formatCode>
                <c:ptCount val="6"/>
                <c:pt idx="0">
                  <c:v>0.76</c:v>
                </c:pt>
                <c:pt idx="1">
                  <c:v>0.19</c:v>
                </c:pt>
                <c:pt idx="2">
                  <c:v>0.01</c:v>
                </c:pt>
                <c:pt idx="3">
                  <c:v>0</c:v>
                </c:pt>
                <c:pt idx="4">
                  <c:v>0.04</c:v>
                </c:pt>
                <c:pt idx="5">
                  <c:v>0</c:v>
                </c:pt>
              </c:numCache>
            </c:numRef>
          </c:val>
        </c:ser>
        <c:ser>
          <c:idx val="1"/>
          <c:order val="1"/>
          <c:tx>
            <c:strRef>
              <c:f>Sheet1!$C$1</c:f>
              <c:strCache>
                <c:ptCount val="1"/>
                <c:pt idx="0">
                  <c:v>Q2 2022</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Sheet1!$A$2:$A$7</c:f>
              <c:strCache>
                <c:ptCount val="6"/>
                <c:pt idx="0">
                  <c:v>Excellent</c:v>
                </c:pt>
                <c:pt idx="1">
                  <c:v>Good</c:v>
                </c:pt>
                <c:pt idx="2">
                  <c:v>Fair</c:v>
                </c:pt>
                <c:pt idx="3">
                  <c:v>Poor</c:v>
                </c:pt>
                <c:pt idx="4">
                  <c:v>N/A</c:v>
                </c:pt>
                <c:pt idx="5">
                  <c:v>No Response</c:v>
                </c:pt>
              </c:strCache>
            </c:strRef>
          </c:cat>
          <c:val>
            <c:numRef>
              <c:f>Sheet1!$C$2:$C$7</c:f>
              <c:numCache>
                <c:formatCode>0%</c:formatCode>
                <c:ptCount val="6"/>
                <c:pt idx="0">
                  <c:v>0.66</c:v>
                </c:pt>
                <c:pt idx="1">
                  <c:v>0.19</c:v>
                </c:pt>
                <c:pt idx="2">
                  <c:v>0.03</c:v>
                </c:pt>
                <c:pt idx="3">
                  <c:v>0</c:v>
                </c:pt>
                <c:pt idx="4">
                  <c:v>0.1</c:v>
                </c:pt>
                <c:pt idx="5">
                  <c:v>0.02</c:v>
                </c:pt>
              </c:numCache>
            </c:numRef>
          </c:val>
        </c:ser>
        <c:ser>
          <c:idx val="2"/>
          <c:order val="2"/>
          <c:tx>
            <c:strRef>
              <c:f>Sheet1!$D$1</c:f>
              <c:strCache>
                <c:ptCount val="1"/>
                <c:pt idx="0">
                  <c:v>Q3 2022</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Sheet1!$A$2:$A$7</c:f>
              <c:strCache>
                <c:ptCount val="6"/>
                <c:pt idx="0">
                  <c:v>Excellent</c:v>
                </c:pt>
                <c:pt idx="1">
                  <c:v>Good</c:v>
                </c:pt>
                <c:pt idx="2">
                  <c:v>Fair</c:v>
                </c:pt>
                <c:pt idx="3">
                  <c:v>Poor</c:v>
                </c:pt>
                <c:pt idx="4">
                  <c:v>N/A</c:v>
                </c:pt>
                <c:pt idx="5">
                  <c:v>No Response</c:v>
                </c:pt>
              </c:strCache>
            </c:strRef>
          </c:cat>
          <c:val>
            <c:numRef>
              <c:f>Sheet1!$D$2:$D$7</c:f>
              <c:numCache>
                <c:formatCode>0%</c:formatCode>
                <c:ptCount val="6"/>
                <c:pt idx="0">
                  <c:v>0.56999999999999995</c:v>
                </c:pt>
                <c:pt idx="1">
                  <c:v>0.22</c:v>
                </c:pt>
                <c:pt idx="2">
                  <c:v>0.02</c:v>
                </c:pt>
                <c:pt idx="3">
                  <c:v>0</c:v>
                </c:pt>
                <c:pt idx="4">
                  <c:v>0.1</c:v>
                </c:pt>
                <c:pt idx="5">
                  <c:v>0.09</c:v>
                </c:pt>
              </c:numCache>
            </c:numRef>
          </c:val>
        </c:ser>
        <c:ser>
          <c:idx val="3"/>
          <c:order val="3"/>
          <c:tx>
            <c:strRef>
              <c:f>Sheet1!$E$1</c:f>
              <c:strCache>
                <c:ptCount val="1"/>
                <c:pt idx="0">
                  <c:v>Q4 2022</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Sheet1!$A$2:$A$7</c:f>
              <c:strCache>
                <c:ptCount val="6"/>
                <c:pt idx="0">
                  <c:v>Excellent</c:v>
                </c:pt>
                <c:pt idx="1">
                  <c:v>Good</c:v>
                </c:pt>
                <c:pt idx="2">
                  <c:v>Fair</c:v>
                </c:pt>
                <c:pt idx="3">
                  <c:v>Poor</c:v>
                </c:pt>
                <c:pt idx="4">
                  <c:v>N/A</c:v>
                </c:pt>
                <c:pt idx="5">
                  <c:v>No Response</c:v>
                </c:pt>
              </c:strCache>
            </c:strRef>
          </c:cat>
          <c:val>
            <c:numRef>
              <c:f>Sheet1!$E$2:$E$7</c:f>
              <c:numCache>
                <c:formatCode>0%</c:formatCode>
                <c:ptCount val="6"/>
                <c:pt idx="0">
                  <c:v>0.75</c:v>
                </c:pt>
                <c:pt idx="1">
                  <c:v>0.11</c:v>
                </c:pt>
                <c:pt idx="2">
                  <c:v>0.01</c:v>
                </c:pt>
                <c:pt idx="3">
                  <c:v>0</c:v>
                </c:pt>
                <c:pt idx="4">
                  <c:v>0.11</c:v>
                </c:pt>
                <c:pt idx="5">
                  <c:v>0.02</c:v>
                </c:pt>
              </c:numCache>
            </c:numRef>
          </c:val>
        </c:ser>
        <c:dLbls>
          <c:showLegendKey val="0"/>
          <c:showVal val="1"/>
          <c:showCatName val="0"/>
          <c:showSerName val="0"/>
          <c:showPercent val="0"/>
          <c:showBubbleSize val="0"/>
        </c:dLbls>
        <c:gapWidth val="500"/>
        <c:overlap val="-25"/>
        <c:axId val="119481472"/>
        <c:axId val="119483008"/>
      </c:barChart>
      <c:catAx>
        <c:axId val="119481472"/>
        <c:scaling>
          <c:orientation val="minMax"/>
        </c:scaling>
        <c:delete val="0"/>
        <c:axPos val="b"/>
        <c:majorTickMark val="none"/>
        <c:minorTickMark val="none"/>
        <c:tickLblPos val="nextTo"/>
        <c:crossAx val="119483008"/>
        <c:crosses val="autoZero"/>
        <c:auto val="1"/>
        <c:lblAlgn val="ctr"/>
        <c:lblOffset val="100"/>
        <c:noMultiLvlLbl val="0"/>
      </c:catAx>
      <c:valAx>
        <c:axId val="119483008"/>
        <c:scaling>
          <c:orientation val="minMax"/>
        </c:scaling>
        <c:delete val="1"/>
        <c:axPos val="l"/>
        <c:numFmt formatCode="0%" sourceLinked="1"/>
        <c:majorTickMark val="out"/>
        <c:minorTickMark val="none"/>
        <c:tickLblPos val="none"/>
        <c:crossAx val="119481472"/>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 Relations</dc:creator>
  <cp:lastModifiedBy>Customer Relations</cp:lastModifiedBy>
  <cp:revision>1</cp:revision>
  <dcterms:created xsi:type="dcterms:W3CDTF">2024-01-03T14:49:00Z</dcterms:created>
  <dcterms:modified xsi:type="dcterms:W3CDTF">2024-01-03T14:50:00Z</dcterms:modified>
</cp:coreProperties>
</file>